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napToGrid w:val="0"/>
        <w:spacing w:before="0" w:beforeAutospacing="0" w:after="0" w:afterAutospacing="0" w:line="500" w:lineRule="exact"/>
        <w:jc w:val="both"/>
        <w:rPr>
          <w:rFonts w:hint="eastAsia" w:ascii="宋体" w:hAnsi="宋体" w:cs="宋体"/>
          <w:b/>
          <w:bCs/>
          <w:color w:val="333333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</w:rPr>
        <w:t>附件</w:t>
      </w:r>
      <w:r>
        <w:rPr>
          <w:rFonts w:hint="eastAsia" w:ascii="宋体" w:hAnsi="宋体" w:cs="宋体"/>
          <w:b/>
          <w:bCs/>
          <w:color w:val="333333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333333"/>
        </w:rPr>
        <w:t>：</w:t>
      </w:r>
      <w:r>
        <w:rPr>
          <w:rFonts w:hint="eastAsia" w:ascii="宋体" w:hAnsi="宋体" w:cs="宋体"/>
          <w:b/>
          <w:bCs/>
          <w:color w:val="333333"/>
          <w:lang w:val="en-US" w:eastAsia="zh-CN"/>
        </w:rPr>
        <w:t>采购需求</w:t>
      </w:r>
    </w:p>
    <w:p>
      <w:pPr>
        <w:pStyle w:val="7"/>
        <w:widowControl/>
        <w:snapToGrid w:val="0"/>
        <w:spacing w:before="0" w:beforeAutospacing="0" w:after="0" w:afterAutospacing="0" w:line="500" w:lineRule="exact"/>
        <w:jc w:val="both"/>
        <w:rPr>
          <w:rFonts w:hint="eastAsia" w:ascii="宋体" w:hAnsi="宋体" w:cs="宋体"/>
          <w:b/>
          <w:bCs/>
          <w:color w:val="333333"/>
          <w:lang w:val="en-US" w:eastAsia="zh-CN"/>
        </w:rPr>
      </w:pPr>
    </w:p>
    <w:p>
      <w:pPr>
        <w:pStyle w:val="7"/>
        <w:widowControl/>
        <w:snapToGrid w:val="0"/>
        <w:spacing w:before="0" w:beforeAutospacing="0" w:after="0" w:afterAutospacing="0" w:line="500" w:lineRule="exact"/>
        <w:jc w:val="center"/>
        <w:rPr>
          <w:rFonts w:hint="eastAsia" w:ascii="宋体" w:hAnsi="宋体" w:cs="宋体"/>
          <w:b/>
          <w:bCs/>
          <w:color w:val="333333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采购清单表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840"/>
        <w:gridCol w:w="91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91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342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材料规格名称</w:t>
            </w:r>
          </w:p>
        </w:tc>
        <w:tc>
          <w:tcPr>
            <w:tcW w:w="539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543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91" w:type="pct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3425" w:type="pct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DN800  K7型球墨铸铁污水管</w:t>
            </w:r>
          </w:p>
          <w:p>
            <w:pPr>
              <w:pStyle w:val="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（含每6米一个丁腈NBR胶圈）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lang w:val="en-US" w:eastAsia="zh-CN"/>
              </w:rPr>
              <w:t>米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1" w:type="pct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3425" w:type="pct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 xml:space="preserve">DN800*45°球墨铸铁污水管弯头 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lang w:val="en-US" w:eastAsia="zh-CN"/>
              </w:rPr>
              <w:t>只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1" w:type="pct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34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DN800*90°球墨铸铁污水管弯头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lang w:val="en-US" w:eastAsia="zh-CN"/>
              </w:rPr>
              <w:t>只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1" w:type="pct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3425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DN800丁腈NBR胶圈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lang w:val="en-US" w:eastAsia="zh-CN"/>
              </w:rPr>
              <w:t>条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pStyle w:val="6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技术要求</w:t>
      </w:r>
    </w:p>
    <w:p>
      <w:pPr>
        <w:spacing w:before="156" w:beforeLines="50" w:after="156" w:afterLines="50"/>
        <w:outlineLvl w:val="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</w:t>
      </w:r>
      <w:r>
        <w:rPr>
          <w:rFonts w:ascii="宋体" w:hAnsi="宋体" w:eastAsia="宋体"/>
          <w:b/>
          <w:sz w:val="24"/>
          <w:szCs w:val="24"/>
        </w:rPr>
        <w:t>技术标准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供货方提供的产品必须满足我国的设备设计、制造、试验和安装等国家标准和行业标准（不限于下列标准）：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GB/T 26081-2022  </w:t>
      </w:r>
      <w:r>
        <w:rPr>
          <w:rFonts w:hint="eastAsia" w:ascii="宋体" w:hAnsi="宋体" w:eastAsia="宋体"/>
          <w:sz w:val="24"/>
          <w:szCs w:val="24"/>
        </w:rPr>
        <w:t>排水工程用球墨铸铁管、管件和附件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GB/T 17457-2019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球墨铸铁管和管件水泥砂浆内衬</w:t>
      </w:r>
    </w:p>
    <w:p>
      <w:pPr>
        <w:spacing w:line="400" w:lineRule="exact"/>
        <w:ind w:firstLine="424" w:firstLineChars="202"/>
        <w:rPr>
          <w:rFonts w:ascii="宋体" w:hAnsi="宋体" w:eastAsia="宋体"/>
          <w:sz w:val="24"/>
          <w:szCs w:val="24"/>
        </w:rPr>
      </w:pPr>
      <w:r>
        <w:fldChar w:fldCharType="begin"/>
      </w:r>
      <w:r>
        <w:instrText xml:space="preserve"> HYPERLINK "http://www.baidu.com/link?url=1HrDcWjn4MqehasoVHczuYnhzyRcmjkwryPRYK57e1D5Bfroz87VgXMaUpbLpNr43vTo9RSQNn19_ONUIOkzva" \t "_blank" </w:instrText>
      </w:r>
      <w:r>
        <w:fldChar w:fldCharType="separate"/>
      </w:r>
      <w:r>
        <w:rPr>
          <w:rFonts w:ascii="宋体" w:hAnsi="宋体" w:eastAsia="宋体"/>
          <w:sz w:val="24"/>
          <w:szCs w:val="24"/>
        </w:rPr>
        <w:t>GB/T 32488-2016  球墨铸铁管和管件水泥砂浆内衬密封涂层</w:t>
      </w: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GB/T 21873-2008  </w:t>
      </w:r>
      <w:r>
        <w:rPr>
          <w:rFonts w:hint="eastAsia" w:ascii="宋体" w:hAnsi="宋体" w:eastAsia="宋体"/>
          <w:sz w:val="24"/>
          <w:szCs w:val="24"/>
        </w:rPr>
        <w:t>橡胶密封件给、排水管及污水管道用接口密封圈材料规范</w:t>
      </w:r>
    </w:p>
    <w:p>
      <w:pPr>
        <w:spacing w:before="156" w:beforeLines="50" w:after="156" w:afterLines="50"/>
        <w:outlineLvl w:val="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</w:t>
      </w:r>
      <w:r>
        <w:rPr>
          <w:rFonts w:ascii="宋体" w:hAnsi="宋体" w:eastAsia="宋体"/>
          <w:b/>
          <w:sz w:val="24"/>
          <w:szCs w:val="24"/>
        </w:rPr>
        <w:t>技术参数</w:t>
      </w:r>
    </w:p>
    <w:p>
      <w:pPr>
        <w:spacing w:line="400" w:lineRule="exact"/>
        <w:ind w:firstLine="240" w:firstLineChars="1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★标准长度：</w:t>
      </w:r>
      <w:r>
        <w:rPr>
          <w:rFonts w:ascii="宋体" w:hAnsi="宋体" w:eastAsia="宋体"/>
          <w:bCs/>
          <w:sz w:val="24"/>
          <w:szCs w:val="24"/>
        </w:rPr>
        <w:t>6米</w:t>
      </w:r>
    </w:p>
    <w:p>
      <w:pPr>
        <w:spacing w:line="400" w:lineRule="exact"/>
        <w:ind w:firstLine="240" w:firstLineChars="1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★排水</w:t>
      </w:r>
      <w:r>
        <w:rPr>
          <w:rFonts w:ascii="宋体" w:hAnsi="宋体" w:eastAsia="宋体"/>
          <w:bCs/>
          <w:sz w:val="24"/>
          <w:szCs w:val="24"/>
        </w:rPr>
        <w:t>管材管件外部防腐层</w:t>
      </w:r>
      <w:r>
        <w:rPr>
          <w:rFonts w:hint="eastAsia" w:ascii="宋体" w:hAnsi="宋体" w:eastAsia="宋体"/>
          <w:bCs/>
          <w:sz w:val="24"/>
          <w:szCs w:val="24"/>
        </w:rPr>
        <w:t>：金属锌涂层</w:t>
      </w:r>
      <w:r>
        <w:rPr>
          <w:rFonts w:ascii="宋体" w:hAnsi="宋体" w:eastAsia="宋体"/>
          <w:bCs/>
          <w:sz w:val="24"/>
          <w:szCs w:val="24"/>
        </w:rPr>
        <w:t>+铁红色环氧</w:t>
      </w:r>
    </w:p>
    <w:p>
      <w:pPr>
        <w:spacing w:line="400" w:lineRule="exact"/>
        <w:ind w:firstLine="240" w:firstLineChars="1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★锌涂层单位面积平均重量：不低于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/>
          <w:bCs/>
          <w:sz w:val="24"/>
          <w:szCs w:val="24"/>
        </w:rPr>
        <w:t>0</w:t>
      </w:r>
      <w:r>
        <w:rPr>
          <w:rFonts w:ascii="宋体" w:hAnsi="宋体" w:eastAsia="宋体"/>
          <w:bCs/>
          <w:sz w:val="24"/>
          <w:szCs w:val="24"/>
        </w:rPr>
        <w:t>g/m2</w:t>
      </w:r>
    </w:p>
    <w:p>
      <w:pPr>
        <w:spacing w:line="400" w:lineRule="exact"/>
        <w:ind w:firstLine="240" w:firstLineChars="1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★排水管材、管件</w:t>
      </w:r>
      <w:r>
        <w:rPr>
          <w:rFonts w:ascii="宋体" w:hAnsi="宋体" w:eastAsia="宋体"/>
          <w:bCs/>
          <w:sz w:val="24"/>
          <w:szCs w:val="24"/>
        </w:rPr>
        <w:t>内衬</w:t>
      </w:r>
      <w:r>
        <w:rPr>
          <w:rFonts w:hint="eastAsia" w:ascii="宋体" w:hAnsi="宋体" w:eastAsia="宋体"/>
          <w:bCs/>
          <w:sz w:val="24"/>
          <w:szCs w:val="24"/>
        </w:rPr>
        <w:t>：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硅</w:t>
      </w:r>
      <w:r>
        <w:rPr>
          <w:rFonts w:hint="eastAsia" w:ascii="宋体" w:hAnsi="宋体" w:eastAsia="宋体"/>
          <w:bCs/>
          <w:sz w:val="24"/>
          <w:szCs w:val="24"/>
        </w:rPr>
        <w:t>酸盐</w:t>
      </w:r>
      <w:r>
        <w:rPr>
          <w:rFonts w:ascii="宋体" w:hAnsi="宋体" w:eastAsia="宋体"/>
          <w:bCs/>
          <w:sz w:val="24"/>
          <w:szCs w:val="24"/>
        </w:rPr>
        <w:t>水泥砂浆</w:t>
      </w:r>
    </w:p>
    <w:p>
      <w:pPr>
        <w:spacing w:line="400" w:lineRule="exact"/>
        <w:ind w:firstLine="240" w:firstLineChars="1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★排水用管材管件</w:t>
      </w:r>
      <w:r>
        <w:rPr>
          <w:rFonts w:ascii="宋体" w:hAnsi="宋体" w:eastAsia="宋体"/>
          <w:bCs/>
          <w:sz w:val="24"/>
          <w:szCs w:val="24"/>
        </w:rPr>
        <w:t>接口型式</w:t>
      </w:r>
      <w:r>
        <w:rPr>
          <w:rFonts w:hint="eastAsia" w:ascii="宋体" w:hAnsi="宋体" w:eastAsia="宋体"/>
          <w:bCs/>
          <w:sz w:val="24"/>
          <w:szCs w:val="24"/>
        </w:rPr>
        <w:t>：承插式</w:t>
      </w:r>
      <w:r>
        <w:rPr>
          <w:rFonts w:ascii="宋体" w:hAnsi="宋体" w:eastAsia="宋体"/>
          <w:bCs/>
          <w:sz w:val="24"/>
          <w:szCs w:val="24"/>
        </w:rPr>
        <w:t>柔性接口</w:t>
      </w:r>
    </w:p>
    <w:p>
      <w:pPr>
        <w:spacing w:line="400" w:lineRule="exact"/>
        <w:ind w:firstLine="240" w:firstLineChars="1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★供水管材管件</w:t>
      </w:r>
      <w:r>
        <w:rPr>
          <w:rFonts w:ascii="宋体" w:hAnsi="宋体" w:eastAsia="宋体"/>
          <w:bCs/>
          <w:sz w:val="24"/>
          <w:szCs w:val="24"/>
        </w:rPr>
        <w:t>壁厚级别系数</w:t>
      </w:r>
      <w:r>
        <w:rPr>
          <w:rFonts w:hint="eastAsia" w:ascii="宋体" w:hAnsi="宋体" w:eastAsia="宋体"/>
          <w:bCs/>
          <w:sz w:val="24"/>
          <w:szCs w:val="24"/>
        </w:rPr>
        <w:t>：</w:t>
      </w:r>
      <w:r>
        <w:rPr>
          <w:rFonts w:ascii="宋体" w:hAnsi="宋体" w:eastAsia="宋体"/>
          <w:bCs/>
          <w:sz w:val="24"/>
          <w:szCs w:val="24"/>
        </w:rPr>
        <w:t>K</w:t>
      </w:r>
      <w:r>
        <w:rPr>
          <w:rFonts w:hint="eastAsia" w:ascii="宋体" w:hAnsi="宋体" w:eastAsia="宋体"/>
          <w:bCs/>
          <w:sz w:val="24"/>
          <w:szCs w:val="24"/>
        </w:rPr>
        <w:t>7（适用于承插式柔性接口）</w:t>
      </w:r>
    </w:p>
    <w:p>
      <w:pPr>
        <w:spacing w:line="400" w:lineRule="exact"/>
        <w:ind w:firstLine="240" w:firstLineChars="1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★密封橡胶圈：丁腈橡胶圈</w:t>
      </w:r>
      <w:r>
        <w:rPr>
          <w:rFonts w:ascii="宋体" w:hAnsi="宋体" w:eastAsia="宋体"/>
          <w:bCs/>
          <w:sz w:val="24"/>
          <w:szCs w:val="24"/>
        </w:rPr>
        <w:t>(NBR)</w:t>
      </w:r>
    </w:p>
    <w:p>
      <w:pPr>
        <w:spacing w:before="156" w:beforeLines="50" w:after="156" w:afterLines="50"/>
        <w:outlineLvl w:val="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</w:t>
      </w:r>
      <w:r>
        <w:rPr>
          <w:rFonts w:ascii="宋体" w:hAnsi="宋体" w:eastAsia="宋体"/>
          <w:b/>
          <w:sz w:val="24"/>
          <w:szCs w:val="24"/>
        </w:rPr>
        <w:t>排水用管材管件技术要求内容</w:t>
      </w:r>
    </w:p>
    <w:p>
      <w:pPr>
        <w:pStyle w:val="12"/>
        <w:numPr>
          <w:ilvl w:val="0"/>
          <w:numId w:val="2"/>
        </w:numPr>
        <w:spacing w:line="360" w:lineRule="auto"/>
        <w:ind w:left="0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铁素体基体的球墨铸铁。球墨铸铁金相检验应按GB/T13298-2015《金属显微组织检验方法》执行。检验结果应符合GB/T9441-2009《球墨铸铁金相检验》要求，其中球墨铸铁球化等级不低于三级，并出具相应的检验报告。</w:t>
      </w:r>
    </w:p>
    <w:p>
      <w:pPr>
        <w:pStyle w:val="12"/>
        <w:numPr>
          <w:ilvl w:val="0"/>
          <w:numId w:val="2"/>
        </w:numPr>
        <w:spacing w:line="360" w:lineRule="auto"/>
        <w:ind w:left="0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力学性能指标：球墨铸铁</w:t>
      </w:r>
      <w:r>
        <w:rPr>
          <w:rFonts w:ascii="宋体" w:hAnsi="宋体"/>
          <w:sz w:val="24"/>
        </w:rPr>
        <w:t>管</w:t>
      </w:r>
      <w:r>
        <w:rPr>
          <w:rFonts w:hint="eastAsia" w:ascii="宋体" w:hAnsi="宋体"/>
          <w:sz w:val="24"/>
        </w:rPr>
        <w:t>材及</w:t>
      </w:r>
      <w:r>
        <w:rPr>
          <w:rFonts w:ascii="宋体" w:hAnsi="宋体"/>
          <w:sz w:val="24"/>
        </w:rPr>
        <w:t>管件的拉伸性能和布</w:t>
      </w:r>
      <w:r>
        <w:rPr>
          <w:rFonts w:hint="eastAsia" w:ascii="宋体" w:hAnsi="宋体"/>
          <w:sz w:val="24"/>
        </w:rPr>
        <w:t>氏</w:t>
      </w:r>
      <w:r>
        <w:rPr>
          <w:rFonts w:ascii="宋体" w:hAnsi="宋体"/>
          <w:sz w:val="24"/>
        </w:rPr>
        <w:t>硬度必须符合</w:t>
      </w:r>
      <w:r>
        <w:rPr>
          <w:rFonts w:hint="eastAsia" w:ascii="宋体" w:hAnsi="宋体"/>
          <w:sz w:val="24"/>
        </w:rPr>
        <w:t>GB/T 26081-2022《排水工程用球墨铸铁管、管件和附件》的</w:t>
      </w:r>
      <w:r>
        <w:rPr>
          <w:rFonts w:ascii="宋体" w:hAnsi="宋体"/>
          <w:sz w:val="24"/>
        </w:rPr>
        <w:t>要求</w:t>
      </w:r>
      <w:r>
        <w:rPr>
          <w:rFonts w:hint="eastAsia" w:ascii="宋体" w:hAnsi="宋体"/>
          <w:sz w:val="24"/>
        </w:rPr>
        <w:t>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管材、管件内衬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内衬厚度</w:t>
      </w:r>
      <w:r>
        <w:rPr>
          <w:rFonts w:hint="eastAsia" w:ascii="宋体" w:hAnsi="宋体"/>
          <w:sz w:val="24"/>
        </w:rPr>
        <w:t>公称值及</w:t>
      </w:r>
      <w:r>
        <w:rPr>
          <w:rFonts w:ascii="宋体" w:hAnsi="宋体"/>
          <w:sz w:val="24"/>
        </w:rPr>
        <w:t>最小</w:t>
      </w:r>
      <w:r>
        <w:rPr>
          <w:rFonts w:hint="eastAsia" w:ascii="宋体" w:hAnsi="宋体"/>
          <w:sz w:val="24"/>
        </w:rPr>
        <w:t>值</w:t>
      </w:r>
      <w:r>
        <w:rPr>
          <w:rFonts w:ascii="宋体" w:hAnsi="宋体"/>
          <w:sz w:val="24"/>
        </w:rPr>
        <w:t>须符合GB/T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17457-2019</w:t>
      </w:r>
      <w:r>
        <w:rPr>
          <w:rFonts w:hint="eastAsia" w:ascii="宋体" w:hAnsi="宋体"/>
          <w:sz w:val="24"/>
        </w:rPr>
        <w:t>《球墨铸铁管和</w:t>
      </w:r>
      <w:r>
        <w:rPr>
          <w:rFonts w:ascii="宋体" w:hAnsi="宋体"/>
          <w:sz w:val="24"/>
        </w:rPr>
        <w:t>管件</w:t>
      </w:r>
      <w:r>
        <w:rPr>
          <w:rFonts w:hint="eastAsia" w:ascii="宋体" w:hAnsi="宋体"/>
          <w:sz w:val="24"/>
        </w:rPr>
        <w:t xml:space="preserve"> 水泥砂浆内衬》标准</w:t>
      </w:r>
      <w:r>
        <w:rPr>
          <w:rFonts w:ascii="宋体" w:hAnsi="宋体"/>
          <w:sz w:val="24"/>
        </w:rPr>
        <w:t>中表</w:t>
      </w:r>
      <w:r>
        <w:rPr>
          <w:rFonts w:hint="eastAsia" w:ascii="宋体" w:hAnsi="宋体"/>
          <w:sz w:val="24"/>
        </w:rPr>
        <w:t>1所</w:t>
      </w:r>
      <w:r>
        <w:rPr>
          <w:rFonts w:ascii="宋体" w:hAnsi="宋体"/>
          <w:sz w:val="24"/>
        </w:rPr>
        <w:t>列出的规定值。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最大裂缝</w:t>
      </w:r>
      <w:r>
        <w:rPr>
          <w:rFonts w:ascii="宋体" w:hAnsi="宋体"/>
          <w:sz w:val="24"/>
        </w:rPr>
        <w:t>宽度和径向位移须符合GB/T17457-2019</w:t>
      </w:r>
      <w:r>
        <w:rPr>
          <w:rFonts w:hint="eastAsia" w:ascii="宋体" w:hAnsi="宋体"/>
          <w:sz w:val="24"/>
        </w:rPr>
        <w:t>《球墨铸铁管和</w:t>
      </w:r>
      <w:r>
        <w:rPr>
          <w:rFonts w:ascii="宋体" w:hAnsi="宋体"/>
          <w:sz w:val="24"/>
        </w:rPr>
        <w:t>管件</w:t>
      </w:r>
      <w:r>
        <w:rPr>
          <w:rFonts w:hint="eastAsia" w:ascii="宋体" w:hAnsi="宋体"/>
          <w:sz w:val="24"/>
        </w:rPr>
        <w:t xml:space="preserve"> 水泥砂浆内衬》标准</w:t>
      </w:r>
      <w:r>
        <w:rPr>
          <w:rFonts w:ascii="宋体" w:hAnsi="宋体"/>
          <w:sz w:val="24"/>
        </w:rPr>
        <w:t>中表</w:t>
      </w:r>
      <w:r>
        <w:rPr>
          <w:rFonts w:hint="eastAsia" w:ascii="宋体" w:hAnsi="宋体"/>
          <w:sz w:val="24"/>
        </w:rPr>
        <w:t>1所</w:t>
      </w:r>
      <w:r>
        <w:rPr>
          <w:rFonts w:ascii="宋体" w:hAnsi="宋体"/>
          <w:sz w:val="24"/>
        </w:rPr>
        <w:t>列出的规定值。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管材外涂层</w:t>
      </w:r>
    </w:p>
    <w:p>
      <w:pPr>
        <w:pStyle w:val="12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外表面喷锌涂层应</w:t>
      </w:r>
      <w:r>
        <w:rPr>
          <w:rFonts w:ascii="宋体" w:hAnsi="宋体"/>
          <w:sz w:val="24"/>
        </w:rPr>
        <w:t>符合GB/T17456.1-</w:t>
      </w:r>
      <w:r>
        <w:rPr>
          <w:rFonts w:hint="eastAsia" w:ascii="宋体" w:hAnsi="宋体"/>
          <w:sz w:val="24"/>
        </w:rPr>
        <w:t>2009《球墨铸铁管外表面锌涂层 第1部分：带终饰层的金属锌涂层》规定</w:t>
      </w:r>
      <w:r>
        <w:rPr>
          <w:rFonts w:ascii="宋体" w:hAnsi="宋体"/>
          <w:sz w:val="24"/>
        </w:rPr>
        <w:t>的要求</w:t>
      </w:r>
      <w:r>
        <w:rPr>
          <w:rFonts w:hint="eastAsia" w:ascii="宋体" w:hAnsi="宋体"/>
          <w:sz w:val="24"/>
        </w:rPr>
        <w:t>。</w:t>
      </w:r>
    </w:p>
    <w:p>
      <w:pPr>
        <w:pStyle w:val="12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终</w:t>
      </w:r>
      <w:r>
        <w:rPr>
          <w:rFonts w:ascii="宋体" w:hAnsi="宋体"/>
          <w:sz w:val="24"/>
        </w:rPr>
        <w:t>饰涂层干膜的平均厚度</w:t>
      </w:r>
      <w:r>
        <w:rPr>
          <w:rFonts w:hint="eastAsia" w:ascii="宋体" w:hAnsi="宋体"/>
          <w:sz w:val="24"/>
        </w:rPr>
        <w:t>应不小于70um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局部最小厚度应不小于50um；为了避免起泡，终饰涂层干膜的平均厚度应不超过250um</w:t>
      </w:r>
      <w:r>
        <w:rPr>
          <w:rFonts w:ascii="宋体" w:hAnsi="宋体"/>
          <w:sz w:val="24"/>
        </w:rPr>
        <w:t>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管</w:t>
      </w:r>
      <w:r>
        <w:rPr>
          <w:rFonts w:hint="eastAsia" w:ascii="宋体" w:hAnsi="宋体"/>
          <w:sz w:val="24"/>
        </w:rPr>
        <w:t>件外涂层</w:t>
      </w:r>
    </w:p>
    <w:p>
      <w:pPr>
        <w:pStyle w:val="12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球墨铸铁管件外涂</w:t>
      </w:r>
      <w:r>
        <w:rPr>
          <w:rFonts w:ascii="宋体" w:hAnsi="宋体"/>
          <w:sz w:val="24"/>
        </w:rPr>
        <w:t>层</w:t>
      </w:r>
      <w:r>
        <w:rPr>
          <w:rFonts w:hint="eastAsia" w:ascii="宋体" w:hAnsi="宋体"/>
          <w:sz w:val="24"/>
        </w:rPr>
        <w:t>材料应包括富锌涂料涂层+</w:t>
      </w:r>
      <w:r>
        <w:rPr>
          <w:rFonts w:ascii="宋体" w:hAnsi="宋体"/>
          <w:sz w:val="24"/>
        </w:rPr>
        <w:t>终饰涂层。</w:t>
      </w:r>
    </w:p>
    <w:p>
      <w:pPr>
        <w:pStyle w:val="12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富</w:t>
      </w:r>
      <w:r>
        <w:rPr>
          <w:rFonts w:ascii="宋体" w:hAnsi="宋体"/>
          <w:sz w:val="24"/>
        </w:rPr>
        <w:t>锌底漆必须完全符合</w:t>
      </w:r>
      <w:r>
        <w:rPr>
          <w:rFonts w:hint="eastAsia" w:ascii="宋体" w:hAnsi="宋体"/>
          <w:sz w:val="24"/>
        </w:rPr>
        <w:t>GB/T17456.2-2010《球墨铸铁管外表面锌涂层 第2部分：带终饰层的富锌涂料涂层》，富</w:t>
      </w:r>
      <w:r>
        <w:rPr>
          <w:rFonts w:ascii="宋体" w:hAnsi="宋体"/>
          <w:sz w:val="24"/>
        </w:rPr>
        <w:t>锌底漆为干膜含锌量不低于</w:t>
      </w:r>
      <w:r>
        <w:rPr>
          <w:rFonts w:hint="eastAsia" w:ascii="宋体" w:hAnsi="宋体"/>
          <w:sz w:val="24"/>
        </w:rPr>
        <w:t>85</w:t>
      </w:r>
      <w:r>
        <w:rPr>
          <w:rFonts w:ascii="宋体" w:hAnsi="宋体"/>
          <w:sz w:val="24"/>
        </w:rPr>
        <w:t>%（</w:t>
      </w:r>
      <w:r>
        <w:rPr>
          <w:rFonts w:hint="eastAsia" w:ascii="宋体" w:hAnsi="宋体"/>
          <w:sz w:val="24"/>
        </w:rPr>
        <w:t>质量</w:t>
      </w:r>
      <w:r>
        <w:rPr>
          <w:rFonts w:ascii="宋体" w:hAnsi="宋体"/>
          <w:sz w:val="24"/>
        </w:rPr>
        <w:t>分数）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富锌涂料</w:t>
      </w:r>
      <w:r>
        <w:rPr>
          <w:rFonts w:hint="eastAsia" w:ascii="宋体" w:hAnsi="宋体"/>
          <w:sz w:val="24"/>
        </w:rPr>
        <w:t>。</w:t>
      </w:r>
    </w:p>
    <w:p>
      <w:pPr>
        <w:pStyle w:val="12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富</w:t>
      </w:r>
      <w:r>
        <w:rPr>
          <w:rFonts w:ascii="宋体" w:hAnsi="宋体"/>
          <w:sz w:val="24"/>
        </w:rPr>
        <w:t>锌</w:t>
      </w:r>
      <w:r>
        <w:rPr>
          <w:rFonts w:hint="eastAsia" w:ascii="宋体" w:hAnsi="宋体"/>
          <w:sz w:val="24"/>
        </w:rPr>
        <w:t>涂料涂</w:t>
      </w:r>
      <w:r>
        <w:rPr>
          <w:rFonts w:ascii="宋体" w:hAnsi="宋体"/>
          <w:sz w:val="24"/>
        </w:rPr>
        <w:t>层平均</w:t>
      </w:r>
      <w:r>
        <w:rPr>
          <w:rFonts w:hint="eastAsia" w:ascii="宋体" w:hAnsi="宋体"/>
          <w:sz w:val="24"/>
        </w:rPr>
        <w:t>重量不应小于</w:t>
      </w:r>
      <w:r>
        <w:rPr>
          <w:rFonts w:hint="eastAsia" w:ascii="宋体" w:hAnsi="宋体"/>
          <w:sz w:val="24"/>
          <w:lang w:val="en-US" w:eastAsia="zh-CN"/>
        </w:rPr>
        <w:t>130</w:t>
      </w:r>
      <w:r>
        <w:rPr>
          <w:rFonts w:hint="eastAsia" w:ascii="宋体" w:hAnsi="宋体"/>
          <w:sz w:val="24"/>
        </w:rPr>
        <w:t>g/m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 xml:space="preserve"> ；局部重量最小值不应小于1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0g/m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>。</w:t>
      </w:r>
    </w:p>
    <w:p>
      <w:pPr>
        <w:pStyle w:val="12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终饰</w:t>
      </w:r>
      <w:r>
        <w:rPr>
          <w:rFonts w:ascii="宋体" w:hAnsi="宋体"/>
          <w:sz w:val="24"/>
        </w:rPr>
        <w:t>涂层应选用与锌涂层相容的合成树脂</w:t>
      </w:r>
      <w:r>
        <w:rPr>
          <w:rFonts w:hint="eastAsia" w:ascii="宋体" w:hAnsi="宋体"/>
          <w:sz w:val="24"/>
        </w:rPr>
        <w:t>涂料</w:t>
      </w:r>
      <w:r>
        <w:rPr>
          <w:rFonts w:ascii="宋体" w:hAnsi="宋体"/>
          <w:sz w:val="24"/>
        </w:rPr>
        <w:t>作为终饰涂层材料。</w:t>
      </w:r>
      <w:r>
        <w:rPr>
          <w:rFonts w:hint="eastAsia" w:ascii="宋体" w:hAnsi="宋体"/>
          <w:sz w:val="24"/>
        </w:rPr>
        <w:t>终</w:t>
      </w:r>
      <w:r>
        <w:rPr>
          <w:rFonts w:ascii="宋体" w:hAnsi="宋体"/>
          <w:sz w:val="24"/>
        </w:rPr>
        <w:t>饰涂层干膜的平均厚度</w:t>
      </w:r>
      <w:r>
        <w:rPr>
          <w:rFonts w:hint="eastAsia" w:ascii="宋体" w:hAnsi="宋体"/>
          <w:sz w:val="24"/>
        </w:rPr>
        <w:t>应不小于70um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局部最小厚度应不小于50um；为了避免起泡，终饰涂层干膜的平均厚度应不超过250um。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>外径</w:t>
      </w:r>
      <w:r>
        <w:rPr>
          <w:rFonts w:ascii="宋体" w:hAnsi="宋体"/>
          <w:sz w:val="24"/>
        </w:rPr>
        <w:t>、内径和壁厚须符合</w:t>
      </w:r>
      <w:r>
        <w:rPr>
          <w:rFonts w:hint="eastAsia" w:ascii="宋体" w:hAnsi="宋体"/>
          <w:sz w:val="24"/>
        </w:rPr>
        <w:t>GB/T 26081-2022所</w:t>
      </w:r>
      <w:r>
        <w:rPr>
          <w:rFonts w:ascii="宋体" w:hAnsi="宋体"/>
          <w:sz w:val="24"/>
        </w:rPr>
        <w:t>规定的标准值及</w:t>
      </w:r>
      <w:r>
        <w:rPr>
          <w:rFonts w:hint="eastAsia" w:ascii="宋体" w:hAnsi="宋体"/>
          <w:sz w:val="24"/>
        </w:rPr>
        <w:t>公差</w:t>
      </w:r>
      <w:r>
        <w:rPr>
          <w:rFonts w:ascii="宋体" w:hAnsi="宋体"/>
          <w:sz w:val="24"/>
        </w:rPr>
        <w:t>范围。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>为保证后期安装质量，管材和管件的生产商须为同一厂家</w:t>
      </w:r>
      <w:r>
        <w:rPr>
          <w:rFonts w:hint="eastAsia" w:ascii="宋体" w:hAnsi="宋体"/>
          <w:sz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47937"/>
    <w:multiLevelType w:val="singleLevel"/>
    <w:tmpl w:val="9D9479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C0C51D6"/>
    <w:multiLevelType w:val="multilevel"/>
    <w:tmpl w:val="0C0C51D6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1F273E"/>
    <w:multiLevelType w:val="multilevel"/>
    <w:tmpl w:val="231F273E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FD934BF"/>
    <w:multiLevelType w:val="multilevel"/>
    <w:tmpl w:val="3FD934BF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7B361C2"/>
    <w:multiLevelType w:val="multilevel"/>
    <w:tmpl w:val="77B361C2"/>
    <w:lvl w:ilvl="0" w:tentative="0">
      <w:start w:val="1"/>
      <w:numFmt w:val="decimal"/>
      <w:suff w:val="space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6EC56B08"/>
    <w:rsid w:val="0270061D"/>
    <w:rsid w:val="02FA082F"/>
    <w:rsid w:val="04161698"/>
    <w:rsid w:val="049D20AA"/>
    <w:rsid w:val="08B224B5"/>
    <w:rsid w:val="098A290C"/>
    <w:rsid w:val="0A0501E5"/>
    <w:rsid w:val="0BAB6B6A"/>
    <w:rsid w:val="0E981627"/>
    <w:rsid w:val="1AB64489"/>
    <w:rsid w:val="1AF20FD8"/>
    <w:rsid w:val="1C362480"/>
    <w:rsid w:val="1C557A44"/>
    <w:rsid w:val="1F861028"/>
    <w:rsid w:val="204607B7"/>
    <w:rsid w:val="21225267"/>
    <w:rsid w:val="217355DC"/>
    <w:rsid w:val="24CC7B49"/>
    <w:rsid w:val="26BE72FA"/>
    <w:rsid w:val="29455AB0"/>
    <w:rsid w:val="31574552"/>
    <w:rsid w:val="323903E4"/>
    <w:rsid w:val="3F786788"/>
    <w:rsid w:val="3FFC1167"/>
    <w:rsid w:val="402B37FA"/>
    <w:rsid w:val="45244CBC"/>
    <w:rsid w:val="481B23A6"/>
    <w:rsid w:val="48B14AB8"/>
    <w:rsid w:val="4BAF3531"/>
    <w:rsid w:val="4F2935FA"/>
    <w:rsid w:val="4FDE381C"/>
    <w:rsid w:val="509B22D6"/>
    <w:rsid w:val="59A71CEC"/>
    <w:rsid w:val="5B0373F5"/>
    <w:rsid w:val="5DF50B4C"/>
    <w:rsid w:val="5E111E29"/>
    <w:rsid w:val="5FE86CCD"/>
    <w:rsid w:val="60A7180F"/>
    <w:rsid w:val="613D2F35"/>
    <w:rsid w:val="629D1EDE"/>
    <w:rsid w:val="62EC30E8"/>
    <w:rsid w:val="64F535F3"/>
    <w:rsid w:val="67650AF0"/>
    <w:rsid w:val="69EB79D2"/>
    <w:rsid w:val="6CC369E5"/>
    <w:rsid w:val="6EC56B08"/>
    <w:rsid w:val="6FA90A3D"/>
    <w:rsid w:val="71121CE9"/>
    <w:rsid w:val="72710C91"/>
    <w:rsid w:val="752F5927"/>
    <w:rsid w:val="7B8427C9"/>
    <w:rsid w:val="7C6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39"/>
    <w:pPr>
      <w:spacing w:before="120" w:after="120"/>
    </w:pPr>
    <w:rPr>
      <w:rFonts w:ascii="Calibri" w:hAnsi="Calibri" w:cs="Calibri"/>
      <w:b/>
      <w:caps/>
      <w:sz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2023-12-26T00:38:00Z</dcterms:created>
  <dc:creator>Administrator</dc:creator>
  <cp:lastModifiedBy>Amor</cp:lastModifiedBy>
  <cp:lastPrinted>2024-03-12T08:37:00Z</cp:lastPrinted>
  <dcterms:modified xsi:type="dcterms:W3CDTF">2024-03-25T08:40:06Z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7265BF3F34AA4B39A7F79B619A98BF50_13</vt:lpwstr>
  </property>
</Properties>
</file>